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>на межселенной территории муниципального образования Верхнекетский район Томской области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на межселенной территории муниципального образования Верхнекетский район Томской области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земельного контроля на межселенной территории муниципального образования Верхнекетский район Томской области являются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>на межселенной территории муниципального образования Верхнекетский район Томской области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306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Верхнекетского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>8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352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1</w:t>
      </w:r>
      <w:r w:rsidR="00530649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37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A536E4" w:rsidRPr="00A536E4">
        <w:rPr>
          <w:rFonts w:ascii="Times New Roman" w:hAnsi="Times New Roman"/>
          <w:sz w:val="28"/>
          <w:szCs w:val="28"/>
        </w:rPr>
        <w:t>земельном контроле на межселе</w:t>
      </w:r>
      <w:r w:rsidR="00A536E4">
        <w:rPr>
          <w:rFonts w:ascii="Times New Roman" w:hAnsi="Times New Roman"/>
          <w:sz w:val="28"/>
          <w:szCs w:val="28"/>
        </w:rPr>
        <w:t xml:space="preserve">нной территории муниципального образования </w:t>
      </w:r>
      <w:r w:rsidR="00A536E4" w:rsidRPr="00A536E4">
        <w:rPr>
          <w:rFonts w:ascii="Times New Roman" w:hAnsi="Times New Roman"/>
          <w:sz w:val="28"/>
          <w:szCs w:val="28"/>
        </w:rPr>
        <w:t>Верхнекетский район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363A9E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 Целью программы явля</w:t>
      </w:r>
      <w:r w:rsidR="00363A9E">
        <w:rPr>
          <w:rFonts w:ascii="Times New Roman" w:hAnsi="Times New Roman"/>
          <w:bCs/>
          <w:color w:val="111111"/>
          <w:sz w:val="28"/>
          <w:szCs w:val="28"/>
        </w:rPr>
        <w:t>ю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тся</w:t>
      </w:r>
      <w:r w:rsidR="00363A9E">
        <w:rPr>
          <w:rFonts w:ascii="Times New Roman" w:hAnsi="Times New Roman"/>
          <w:bCs/>
          <w:color w:val="111111"/>
          <w:sz w:val="28"/>
          <w:szCs w:val="28"/>
        </w:rPr>
        <w:t>: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B01AB2" w:rsidRDefault="00363A9E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363A9E">
        <w:rPr>
          <w:rFonts w:ascii="Times New Roman" w:hAnsi="Times New Roman"/>
          <w:bCs/>
          <w:color w:val="111111"/>
          <w:sz w:val="28"/>
          <w:szCs w:val="28"/>
        </w:rPr>
        <w:t>земельного 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363A9E" w:rsidRPr="00C565AA" w:rsidRDefault="00363A9E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С</w:t>
      </w:r>
      <w:r w:rsidRPr="00363A9E">
        <w:rPr>
          <w:rFonts w:ascii="Times New Roman" w:hAnsi="Times New Roman"/>
          <w:bCs/>
          <w:color w:val="111111"/>
          <w:sz w:val="28"/>
          <w:szCs w:val="28"/>
        </w:rPr>
        <w:t>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363A9E" w:rsidRPr="00C565AA" w:rsidRDefault="00363A9E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Ф</w:t>
      </w:r>
      <w:r w:rsidRPr="00363A9E">
        <w:rPr>
          <w:rFonts w:ascii="Times New Roman" w:hAnsi="Times New Roman"/>
          <w:bCs/>
          <w:color w:val="111111"/>
          <w:sz w:val="28"/>
          <w:szCs w:val="28"/>
        </w:rPr>
        <w:t>ормирование у контролируемых лиц единообразного понимания требований земельного законодательства</w:t>
      </w:r>
    </w:p>
    <w:p w:rsidR="00B01AB2" w:rsidRPr="00C565AA" w:rsidRDefault="00363A9E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)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565AA" w:rsidRDefault="00363A9E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)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363A9E" w:rsidRPr="00C565AA" w:rsidRDefault="00363A9E" w:rsidP="00363A9E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)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на межселенной территории муниципального образования Верхнекетский район Томской области</w:t>
      </w:r>
      <w:r w:rsidRPr="00FF7FA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на межселенной территории муниципального образования Верхнекетский район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r w:rsidR="00D577C3">
        <w:rPr>
          <w:rFonts w:ascii="Times New Roman" w:hAnsi="Times New Roman"/>
          <w:bCs/>
          <w:color w:val="111111"/>
          <w:sz w:val="28"/>
          <w:szCs w:val="28"/>
        </w:rPr>
        <w:t xml:space="preserve"> района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обязательных требований 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>Администрации 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6A1536" w:rsidRPr="006A1536">
              <w:rPr>
                <w:sz w:val="28"/>
                <w:szCs w:val="28"/>
              </w:rPr>
              <w:t xml:space="preserve"> </w:t>
            </w:r>
            <w:r w:rsidR="00A536E4" w:rsidRPr="00A536E4">
              <w:rPr>
                <w:sz w:val="28"/>
                <w:szCs w:val="28"/>
              </w:rPr>
              <w:t>на межселенной территории муниципального образования Верхнекетский район Томской области</w:t>
            </w:r>
            <w:r w:rsidRPr="00FE3986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подконтрольных субъектов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посредством видео-конференц-связи, на личном приеме, либо в ходе проведения профилактических </w:t>
            </w:r>
            <w:r w:rsidR="007F29BC" w:rsidRPr="007F29BC">
              <w:rPr>
                <w:sz w:val="28"/>
                <w:szCs w:val="28"/>
              </w:rPr>
              <w:lastRenderedPageBreak/>
              <w:t>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 на официальном сайте Администрации Верхнекетского района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D577C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6E4" w:rsidRPr="00A536E4">
              <w:rPr>
                <w:rFonts w:ascii="Times New Roman" w:hAnsi="Times New Roman"/>
                <w:sz w:val="28"/>
                <w:szCs w:val="28"/>
              </w:rPr>
              <w:t>на межселенной территории муниципального образования Верхнекетский район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577C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BA62E2" w:rsidRPr="00BA62E2">
              <w:rPr>
                <w:sz w:val="28"/>
                <w:szCs w:val="28"/>
              </w:rPr>
              <w:t>Администрации 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62E2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BA62E2" w:rsidRPr="00BA62E2">
              <w:rPr>
                <w:sz w:val="28"/>
                <w:szCs w:val="28"/>
                <w:shd w:val="clear" w:color="auto" w:fill="FFFFFF"/>
              </w:rPr>
              <w:t>Администрации Верхнекетского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3" w:rsidRDefault="00695323" w:rsidP="00786787">
      <w:r>
        <w:separator/>
      </w:r>
    </w:p>
  </w:endnote>
  <w:endnote w:type="continuationSeparator" w:id="0">
    <w:p w:rsidR="00695323" w:rsidRDefault="006953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3" w:rsidRDefault="00695323" w:rsidP="00786787">
      <w:r>
        <w:separator/>
      </w:r>
    </w:p>
  </w:footnote>
  <w:footnote w:type="continuationSeparator" w:id="0">
    <w:p w:rsidR="00695323" w:rsidRDefault="006953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28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1764-6430-4513-90C4-9B99DF3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urmiz</cp:lastModifiedBy>
  <cp:revision>7</cp:revision>
  <cp:lastPrinted>2020-04-08T08:26:00Z</cp:lastPrinted>
  <dcterms:created xsi:type="dcterms:W3CDTF">2021-09-17T13:46:00Z</dcterms:created>
  <dcterms:modified xsi:type="dcterms:W3CDTF">2021-10-28T08:52:00Z</dcterms:modified>
</cp:coreProperties>
</file>